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bookmarkStart w:id="0" w:name="_GoBack"/>
      <w:bookmarkEnd w:id="0"/>
      <w:r w:rsidRPr="00C672DD">
        <w:rPr>
          <w:rFonts w:ascii="Arial" w:hAnsi="Arial" w:cs="Arial"/>
          <w:color w:val="auto"/>
          <w:sz w:val="20"/>
        </w:rPr>
        <w:t>Copyright 2010 by The American Institute of Architects (AIA)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Exclusively published and distributed by Architectural Computer Services, Inc. (ARCOM) for the AIA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Revise this Section by deleting and inserting text to meet Project-specific requirements.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This Section uses the term "Architect."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Change this term to match that used to identify the design professional as defined in the General and Supplementary Conditions.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Verify that Section titles referenced in this Section are correct for this Project's Specifications; Section titles may have changed.</w:t>
      </w:r>
    </w:p>
    <w:p w:rsidR="000E476D" w:rsidRPr="00C672DD" w:rsidRDefault="000E476D" w:rsidP="00C672DD">
      <w:pPr>
        <w:pStyle w:val="PRT"/>
        <w:numPr>
          <w:ilvl w:val="0"/>
          <w:numId w:val="27"/>
        </w:numPr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GENERAL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SUMMARY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Section Includes: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Decorative resinous flooring systems.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Related Sections: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Sections in subparagraphs below that contain requirements Contractor might expect to find in this Section but are specified in other Sections.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Section 07</w:t>
      </w:r>
      <w:r w:rsidR="0008524A" w:rsidRPr="00C672DD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92</w:t>
      </w:r>
      <w:r w:rsidR="0008524A" w:rsidRPr="00C672DD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00 "Joint Sealants" for sealants installed at joints in resinous flooring systems.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SUBMITTALS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Product Data: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For each type of product indicated.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Include manufacturer's technical data, application instructions, and recommendations for each resinous flooring component required.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Samples for Initial Selection: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For each type of exposed finish required.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Samples for Verification: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 xml:space="preserve">For each resinous flooring system required, </w:t>
      </w:r>
      <w:r w:rsidRPr="00C672DD">
        <w:rPr>
          <w:rStyle w:val="IP"/>
          <w:rFonts w:ascii="Arial" w:hAnsi="Arial" w:cs="Arial"/>
          <w:color w:val="auto"/>
          <w:sz w:val="20"/>
        </w:rPr>
        <w:t>6 inches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(150 mm)</w:t>
      </w:r>
      <w:r w:rsidRPr="00C672DD">
        <w:rPr>
          <w:rFonts w:ascii="Arial" w:hAnsi="Arial" w:cs="Arial"/>
          <w:sz w:val="20"/>
        </w:rPr>
        <w:t xml:space="preserve"> square, applied to a rigid backing by Installer for this Project.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Product Schedule: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For resinous flooring.</w:t>
      </w:r>
      <w:r w:rsidR="00DA38BA" w:rsidRPr="00C672DD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Use same designations indicated on Drawings.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Installer Certificates: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Signed by manufacturer certifying that installers comply with specified requirements.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Material Certificates: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For each resinous flooring component, from manufacturer.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Material Test Reports: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For each resinous flooring system.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Maintenance Data: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For resinous flooring to include in maintenance manuals.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QUALITY ASSURANCE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first paragraph below if required and if training and approval are available from manufacturers specified.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See "Installer Qualifications" Article in the Evaluations.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Installer Qualifications: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Manufacturer's authorized representative who is trained and approved for installation of flooring systems required for this Project.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subparagraph below with requirements for Installer certificates in "Informational Submittals" Article.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Engage an installer who is certified in writing by resinous flooring manufacturer as qualified to apply resinous flooring systems indicated.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Source Limitations: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Obtain primary resinous flooring materials, including primers, resins, hardening agents, grouting coats, and topcoats, from single source from single manufacturer.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Provide secondary materials, including patching and fill material, joint sealant, and repair materials, of type and from source recommended by manufacturer of primary materials.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lastRenderedPageBreak/>
        <w:t>Retain paragraph below if Work of this Section is extensive or complex enough to justify a preinstallation conference.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If required by authorities having jurisdiction or Owner, insert fire-test-response-characteristic requirements to suit Project.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See "Fire-Test-Response Characteristics" Article in the Evaluations.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DELIVERY, STORAGE, AND HANDLING</w:t>
      </w:r>
    </w:p>
    <w:p w:rsidR="000E476D" w:rsidRPr="00C672DD" w:rsidRDefault="000E476D" w:rsidP="00F2643B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Deliver materials in original packages and containers, with seals unbroken, bearing manufacturer's labels indicating brand name and directions for storage and mixing with other components.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PROJECT CONDITIONS</w:t>
      </w:r>
    </w:p>
    <w:p w:rsidR="000E476D" w:rsidRPr="00C672DD" w:rsidRDefault="000E476D" w:rsidP="00F2643B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Environmental Limitations: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Comply with resinous flooring manufacturer's written instructions for substrate temperature, ambient temperature, moisture, ventilation, and other conditions affecting resinous flooring application.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Revise first paragraph below if specific foot-candle level is required.</w:t>
      </w:r>
    </w:p>
    <w:p w:rsidR="000E476D" w:rsidRPr="00C672DD" w:rsidRDefault="000E476D" w:rsidP="00F2643B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Lighting: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Provide permanent lighting or, if permanent lighting is not in place, simulate permanent lighting conditions during resinous flooring application.</w:t>
      </w:r>
    </w:p>
    <w:p w:rsidR="00C672DD" w:rsidRPr="00C672DD" w:rsidRDefault="000E476D" w:rsidP="00F2643B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Close spaces to traffic during resinous flooring application and for not less than 24 hours after application unless manufacturer recommends a longer period.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If a special warranty is required, insert "Warranty" Article.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Requiring a single-source warranty for application and materials from manufacturer may ensure quality but will eliminate some manufacturers.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Alternatively, a special warranty signed by the Installer and manufacturer can be required.</w:t>
      </w:r>
    </w:p>
    <w:p w:rsidR="000E476D" w:rsidRPr="00C672DD" w:rsidRDefault="000E476D" w:rsidP="00C672DD">
      <w:pPr>
        <w:pStyle w:val="PRT"/>
        <w:numPr>
          <w:ilvl w:val="0"/>
          <w:numId w:val="27"/>
        </w:numPr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PRODUCTS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MANUFACTURERS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See Editing Instruction No. 1 in the Evaluations for cautions about naming manufacturers.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Retain one of two paragraphs and list of manufacturers in this article.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See Section 016000 "Product Requirements."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Basis-of-Design Product: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Subject to compliance with requirements, provide</w:t>
      </w:r>
      <w:r w:rsidR="00A1142B" w:rsidRPr="00C672DD">
        <w:rPr>
          <w:rFonts w:ascii="Arial" w:hAnsi="Arial" w:cs="Arial"/>
          <w:sz w:val="20"/>
        </w:rPr>
        <w:t xml:space="preserve"> Ceram #100 Decorative Troweled Mortar sys</w:t>
      </w:r>
      <w:r w:rsidR="000C0E62" w:rsidRPr="00C672DD">
        <w:rPr>
          <w:rFonts w:ascii="Arial" w:hAnsi="Arial" w:cs="Arial"/>
          <w:sz w:val="20"/>
        </w:rPr>
        <w:t xml:space="preserve">tem by </w:t>
      </w:r>
      <w:r w:rsidR="00A1142B" w:rsidRPr="00C672DD">
        <w:rPr>
          <w:rFonts w:ascii="Arial" w:hAnsi="Arial" w:cs="Arial"/>
          <w:sz w:val="20"/>
        </w:rPr>
        <w:t>General Polymers</w:t>
      </w:r>
      <w:r w:rsidRPr="00C672DD">
        <w:rPr>
          <w:rFonts w:ascii="Arial" w:hAnsi="Arial" w:cs="Arial"/>
          <w:sz w:val="20"/>
        </w:rPr>
        <w:t xml:space="preserve"> or </w:t>
      </w:r>
      <w:r w:rsidR="00BC5558" w:rsidRPr="00C672DD">
        <w:rPr>
          <w:rFonts w:ascii="Arial" w:hAnsi="Arial" w:cs="Arial"/>
          <w:sz w:val="20"/>
        </w:rPr>
        <w:t>Owner-approved equal.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DECORATIVE RESINOUS FLOORING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this article for resinous floorings in general commercial areas requiring abrasion, impact, and chemical resistance but where aesthetics are important.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Copy this article and re-edit for each product.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Insert number to complete drawing designation.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Use these designations on Drawings to identify each product.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Resinous Flooring: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Abrasion-, impact- and chemical-resistant, decorative-aggregate-filled, epoxy-resin-based, monolithic floor surfacing designed to produce a seamless floor and integral cove base.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System Characteristics:</w:t>
      </w:r>
    </w:p>
    <w:p w:rsidR="008C5A21" w:rsidRPr="00C672DD" w:rsidRDefault="00B36AA2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Color and Pattern:</w:t>
      </w:r>
      <w:r w:rsidR="002C761F">
        <w:rPr>
          <w:rFonts w:ascii="Arial" w:hAnsi="Arial" w:cs="Arial"/>
          <w:sz w:val="20"/>
        </w:rPr>
        <w:t xml:space="preserve"> </w:t>
      </w:r>
    </w:p>
    <w:p w:rsidR="008C5A21" w:rsidRPr="00C672DD" w:rsidRDefault="008C5A21" w:rsidP="00C672DD">
      <w:pPr>
        <w:pStyle w:val="PR3"/>
        <w:numPr>
          <w:ilvl w:val="3"/>
          <w:numId w:val="27"/>
        </w:numPr>
        <w:tabs>
          <w:tab w:val="clear" w:pos="864"/>
        </w:tabs>
        <w:contextualSpacing/>
        <w:outlineLvl w:val="3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Field: 14% Black, 18% Blue, 68% Beige</w:t>
      </w:r>
    </w:p>
    <w:p w:rsidR="000E476D" w:rsidRPr="00C672DD" w:rsidRDefault="008C5A21" w:rsidP="00C672DD">
      <w:pPr>
        <w:pStyle w:val="PR3"/>
        <w:numPr>
          <w:ilvl w:val="3"/>
          <w:numId w:val="27"/>
        </w:numPr>
        <w:tabs>
          <w:tab w:val="clear" w:pos="864"/>
        </w:tabs>
        <w:contextualSpacing/>
        <w:outlineLvl w:val="3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Perimeter: 20% Black, 20% Light Beige, 20% New Blue</w:t>
      </w:r>
      <w:r w:rsidR="000E476D" w:rsidRPr="00C672DD">
        <w:rPr>
          <w:rFonts w:ascii="Arial" w:hAnsi="Arial" w:cs="Arial"/>
          <w:sz w:val="20"/>
        </w:rPr>
        <w:t>.</w:t>
      </w:r>
    </w:p>
    <w:p w:rsidR="000E476D" w:rsidRPr="00C672DD" w:rsidRDefault="00B36AA2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Wearing Surface:</w:t>
      </w:r>
      <w:r w:rsidR="002C761F">
        <w:rPr>
          <w:rFonts w:ascii="Arial" w:hAnsi="Arial" w:cs="Arial"/>
          <w:sz w:val="20"/>
        </w:rPr>
        <w:t xml:space="preserve"> </w:t>
      </w:r>
      <w:r w:rsidR="000E476D" w:rsidRPr="00C672DD">
        <w:rPr>
          <w:rFonts w:ascii="Arial" w:hAnsi="Arial" w:cs="Arial"/>
          <w:sz w:val="20"/>
        </w:rPr>
        <w:t>Textured for slip resistance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Overall System Thickness: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Style w:val="IP"/>
          <w:rFonts w:ascii="Arial" w:hAnsi="Arial" w:cs="Arial"/>
          <w:color w:val="auto"/>
          <w:sz w:val="20"/>
        </w:rPr>
        <w:t>1/4 inch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(6.4 mm)</w:t>
      </w:r>
      <w:r w:rsidRPr="00C672DD">
        <w:rPr>
          <w:rFonts w:ascii="Arial" w:hAnsi="Arial" w:cs="Arial"/>
          <w:sz w:val="20"/>
        </w:rPr>
        <w:t>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Body Coat</w:t>
      </w:r>
      <w:r w:rsidR="008C5A21" w:rsidRPr="00C672DD">
        <w:rPr>
          <w:rFonts w:ascii="Arial" w:hAnsi="Arial" w:cs="Arial"/>
          <w:sz w:val="20"/>
        </w:rPr>
        <w:t xml:space="preserve"> General Polymers Ceram 100</w:t>
      </w:r>
      <w:r w:rsidRPr="00C672DD">
        <w:rPr>
          <w:rFonts w:ascii="Arial" w:hAnsi="Arial" w:cs="Arial"/>
          <w:sz w:val="20"/>
        </w:rPr>
        <w:t>:</w:t>
      </w:r>
    </w:p>
    <w:p w:rsidR="000E476D" w:rsidRPr="00C672DD" w:rsidRDefault="00B36AA2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Resin:</w:t>
      </w:r>
      <w:r w:rsidR="002C761F">
        <w:rPr>
          <w:rFonts w:ascii="Arial" w:hAnsi="Arial" w:cs="Arial"/>
          <w:sz w:val="20"/>
        </w:rPr>
        <w:t xml:space="preserve"> </w:t>
      </w:r>
      <w:r w:rsidR="000E476D" w:rsidRPr="00C672DD">
        <w:rPr>
          <w:rFonts w:ascii="Arial" w:hAnsi="Arial" w:cs="Arial"/>
          <w:sz w:val="20"/>
        </w:rPr>
        <w:t>Epoxy.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Formulation Description: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100 percent solids.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 xml:space="preserve">Application Method: Troweled or </w:t>
      </w:r>
      <w:proofErr w:type="spellStart"/>
      <w:r w:rsidRPr="00C672DD">
        <w:rPr>
          <w:rFonts w:ascii="Arial" w:hAnsi="Arial" w:cs="Arial"/>
          <w:sz w:val="20"/>
        </w:rPr>
        <w:t>screeded</w:t>
      </w:r>
      <w:proofErr w:type="spellEnd"/>
      <w:r w:rsidRPr="00C672DD">
        <w:rPr>
          <w:rFonts w:ascii="Arial" w:hAnsi="Arial" w:cs="Arial"/>
          <w:sz w:val="20"/>
        </w:rPr>
        <w:t>.</w:t>
      </w:r>
    </w:p>
    <w:p w:rsidR="000E476D" w:rsidRPr="00C672DD" w:rsidRDefault="000E476D" w:rsidP="00C672DD">
      <w:pPr>
        <w:pStyle w:val="PR3"/>
        <w:numPr>
          <w:ilvl w:val="4"/>
          <w:numId w:val="27"/>
        </w:numPr>
        <w:tabs>
          <w:tab w:val="clear" w:pos="864"/>
          <w:tab w:val="clear" w:pos="2016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Thickness</w:t>
      </w:r>
      <w:r w:rsidR="008C5A21" w:rsidRPr="00C672DD">
        <w:rPr>
          <w:rFonts w:ascii="Arial" w:hAnsi="Arial" w:cs="Arial"/>
          <w:sz w:val="20"/>
        </w:rPr>
        <w:t>:</w:t>
      </w:r>
      <w:r w:rsidRPr="00C672DD">
        <w:rPr>
          <w:rFonts w:ascii="Arial" w:hAnsi="Arial" w:cs="Arial"/>
          <w:sz w:val="20"/>
        </w:rPr>
        <w:t xml:space="preserve"> </w:t>
      </w:r>
      <w:r w:rsidR="008C5A21" w:rsidRPr="00C672DD">
        <w:rPr>
          <w:rStyle w:val="IP"/>
          <w:rFonts w:ascii="Arial" w:hAnsi="Arial" w:cs="Arial"/>
          <w:color w:val="auto"/>
          <w:sz w:val="20"/>
        </w:rPr>
        <w:t>1/4</w:t>
      </w:r>
      <w:r w:rsidRPr="00C672DD">
        <w:rPr>
          <w:rStyle w:val="IP"/>
          <w:rFonts w:ascii="Arial" w:hAnsi="Arial" w:cs="Arial"/>
          <w:color w:val="auto"/>
          <w:sz w:val="20"/>
        </w:rPr>
        <w:t xml:space="preserve"> inch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</w:t>
      </w:r>
      <w:r w:rsidR="008C5A21" w:rsidRPr="00C672DD">
        <w:rPr>
          <w:rStyle w:val="SI"/>
          <w:rFonts w:ascii="Arial" w:hAnsi="Arial" w:cs="Arial"/>
          <w:color w:val="auto"/>
          <w:sz w:val="20"/>
        </w:rPr>
        <w:t>6.4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mm)</w:t>
      </w:r>
      <w:r w:rsidRPr="00C672DD">
        <w:rPr>
          <w:rFonts w:ascii="Arial" w:hAnsi="Arial" w:cs="Arial"/>
          <w:sz w:val="20"/>
        </w:rPr>
        <w:t>.</w:t>
      </w:r>
    </w:p>
    <w:p w:rsidR="00593454" w:rsidRPr="00C672DD" w:rsidRDefault="000E476D" w:rsidP="00C672DD">
      <w:pPr>
        <w:pStyle w:val="PR2"/>
        <w:numPr>
          <w:ilvl w:val="4"/>
          <w:numId w:val="27"/>
        </w:numPr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 xml:space="preserve">Aggregates: </w:t>
      </w:r>
      <w:r w:rsidR="008C5A21" w:rsidRPr="00C672DD">
        <w:rPr>
          <w:rFonts w:ascii="Arial" w:hAnsi="Arial" w:cs="Arial"/>
          <w:sz w:val="20"/>
        </w:rPr>
        <w:t>Large, multicolored</w:t>
      </w:r>
      <w:r w:rsidRPr="00C672DD">
        <w:rPr>
          <w:rFonts w:ascii="Arial" w:hAnsi="Arial" w:cs="Arial"/>
          <w:sz w:val="20"/>
        </w:rPr>
        <w:t xml:space="preserve"> </w:t>
      </w:r>
      <w:r w:rsidR="008C5A21" w:rsidRPr="00C672DD">
        <w:rPr>
          <w:rFonts w:ascii="Arial" w:hAnsi="Arial" w:cs="Arial"/>
          <w:sz w:val="20"/>
        </w:rPr>
        <w:t>quartz</w:t>
      </w:r>
      <w:r w:rsidRPr="00C672DD">
        <w:rPr>
          <w:rFonts w:ascii="Arial" w:hAnsi="Arial" w:cs="Arial"/>
          <w:sz w:val="20"/>
        </w:rPr>
        <w:t>.</w:t>
      </w:r>
    </w:p>
    <w:p w:rsidR="008C5A21" w:rsidRPr="00C672DD" w:rsidRDefault="008C5A21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Thixotropic Grout Coat General Polymers 3744G Clear:</w:t>
      </w:r>
      <w:r w:rsidR="002C761F">
        <w:rPr>
          <w:rFonts w:ascii="Arial" w:hAnsi="Arial" w:cs="Arial"/>
          <w:sz w:val="20"/>
        </w:rPr>
        <w:t xml:space="preserve"> </w:t>
      </w:r>
    </w:p>
    <w:p w:rsidR="008C5A21" w:rsidRPr="00C672DD" w:rsidRDefault="008C5A21" w:rsidP="00C672DD">
      <w:pPr>
        <w:pStyle w:val="PR2"/>
        <w:numPr>
          <w:ilvl w:val="3"/>
          <w:numId w:val="27"/>
        </w:numPr>
        <w:tabs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Resin: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Epoxy.</w:t>
      </w:r>
    </w:p>
    <w:p w:rsidR="008C5A21" w:rsidRPr="00C672DD" w:rsidRDefault="008C5A21" w:rsidP="00C672DD">
      <w:pPr>
        <w:pStyle w:val="PR2"/>
        <w:numPr>
          <w:ilvl w:val="3"/>
          <w:numId w:val="27"/>
        </w:numPr>
        <w:tabs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Type: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Clear.</w:t>
      </w:r>
    </w:p>
    <w:p w:rsidR="008C5A21" w:rsidRPr="00C672DD" w:rsidRDefault="008C5A21" w:rsidP="00C672DD">
      <w:pPr>
        <w:pStyle w:val="PR2"/>
        <w:numPr>
          <w:ilvl w:val="3"/>
          <w:numId w:val="27"/>
        </w:numPr>
        <w:tabs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Finish: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Gloss.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lastRenderedPageBreak/>
        <w:t>Topcoat: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Sealing or finish coats.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Resin: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Epoxy.</w:t>
      </w:r>
    </w:p>
    <w:p w:rsidR="000E476D" w:rsidRPr="00C672DD" w:rsidRDefault="00B36AA2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Type:</w:t>
      </w:r>
      <w:r w:rsidR="002C761F">
        <w:rPr>
          <w:rFonts w:ascii="Arial" w:hAnsi="Arial" w:cs="Arial"/>
          <w:sz w:val="20"/>
        </w:rPr>
        <w:t xml:space="preserve"> </w:t>
      </w:r>
      <w:r w:rsidR="000E476D" w:rsidRPr="00C672DD">
        <w:rPr>
          <w:rFonts w:ascii="Arial" w:hAnsi="Arial" w:cs="Arial"/>
          <w:sz w:val="20"/>
        </w:rPr>
        <w:t>Clear.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Finish: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Gloss.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Number of Coats: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Two.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System Physical Properties: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Provide resinous flooring system with the following minimum physical property requirements when tested according to test methods indicated: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Subparagraphs below are examples only and are based on test methods required in ASTM C 722, MIL-D-3134, and manufacturers' literature.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Compressive Strength:</w:t>
      </w:r>
      <w:r w:rsidR="002C761F">
        <w:rPr>
          <w:rFonts w:ascii="Arial" w:hAnsi="Arial" w:cs="Arial"/>
          <w:sz w:val="20"/>
        </w:rPr>
        <w:t xml:space="preserve"> </w:t>
      </w:r>
      <w:r w:rsidR="00B36AA2" w:rsidRPr="00C672DD">
        <w:rPr>
          <w:rFonts w:ascii="Arial" w:hAnsi="Arial" w:cs="Arial"/>
          <w:sz w:val="20"/>
        </w:rPr>
        <w:t>11,000 psi</w:t>
      </w:r>
      <w:r w:rsidRPr="00C672DD">
        <w:rPr>
          <w:rFonts w:ascii="Arial" w:hAnsi="Arial" w:cs="Arial"/>
          <w:sz w:val="20"/>
        </w:rPr>
        <w:t xml:space="preserve"> per ASTM C 579.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Tensile Strength:</w:t>
      </w:r>
      <w:r w:rsidR="002C761F">
        <w:rPr>
          <w:rFonts w:ascii="Arial" w:hAnsi="Arial" w:cs="Arial"/>
          <w:sz w:val="20"/>
        </w:rPr>
        <w:t xml:space="preserve"> </w:t>
      </w:r>
      <w:r w:rsidR="00B36AA2" w:rsidRPr="00C672DD">
        <w:rPr>
          <w:rFonts w:ascii="Arial" w:hAnsi="Arial" w:cs="Arial"/>
          <w:sz w:val="20"/>
        </w:rPr>
        <w:t>2,500 psi</w:t>
      </w:r>
      <w:r w:rsidRPr="00C672DD">
        <w:rPr>
          <w:rFonts w:ascii="Arial" w:hAnsi="Arial" w:cs="Arial"/>
          <w:sz w:val="20"/>
        </w:rPr>
        <w:t xml:space="preserve"> per ASTM C 307.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Flexural Modulus of Elasticity:</w:t>
      </w:r>
      <w:r w:rsidR="002C761F">
        <w:rPr>
          <w:rFonts w:ascii="Arial" w:hAnsi="Arial" w:cs="Arial"/>
          <w:sz w:val="20"/>
        </w:rPr>
        <w:t xml:space="preserve"> </w:t>
      </w:r>
      <w:r w:rsidR="00B36AA2" w:rsidRPr="00C672DD">
        <w:rPr>
          <w:rFonts w:ascii="Arial" w:hAnsi="Arial" w:cs="Arial"/>
          <w:sz w:val="20"/>
        </w:rPr>
        <w:t>4,500 psi</w:t>
      </w:r>
      <w:r w:rsidRPr="00C672DD">
        <w:rPr>
          <w:rFonts w:ascii="Arial" w:hAnsi="Arial" w:cs="Arial"/>
          <w:sz w:val="20"/>
        </w:rPr>
        <w:t xml:space="preserve"> per ASTM C 580.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Impact Resistance: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 xml:space="preserve">No chipping, cracking, or delamination and not more than </w:t>
      </w:r>
      <w:r w:rsidRPr="00C672DD">
        <w:rPr>
          <w:rStyle w:val="IP"/>
          <w:rFonts w:ascii="Arial" w:hAnsi="Arial" w:cs="Arial"/>
          <w:color w:val="auto"/>
          <w:sz w:val="20"/>
        </w:rPr>
        <w:t>1/16-inch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(1.6-mm)</w:t>
      </w:r>
      <w:r w:rsidRPr="00C672DD">
        <w:rPr>
          <w:rFonts w:ascii="Arial" w:hAnsi="Arial" w:cs="Arial"/>
          <w:sz w:val="20"/>
        </w:rPr>
        <w:t xml:space="preserve"> permanent indentation per MIL-D-3134.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Resistance to Elevated Temperature: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 xml:space="preserve">No slip or flow of more than </w:t>
      </w:r>
      <w:r w:rsidRPr="00C672DD">
        <w:rPr>
          <w:rStyle w:val="IP"/>
          <w:rFonts w:ascii="Arial" w:hAnsi="Arial" w:cs="Arial"/>
          <w:color w:val="auto"/>
          <w:sz w:val="20"/>
        </w:rPr>
        <w:t>1/16 inch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(1.6 mm)</w:t>
      </w:r>
      <w:r w:rsidRPr="00C672DD">
        <w:rPr>
          <w:rFonts w:ascii="Arial" w:hAnsi="Arial" w:cs="Arial"/>
          <w:sz w:val="20"/>
        </w:rPr>
        <w:t xml:space="preserve"> per MIL-D-3134.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Abrasion Resistance:</w:t>
      </w:r>
      <w:r w:rsidR="002C761F">
        <w:rPr>
          <w:rFonts w:ascii="Arial" w:hAnsi="Arial" w:cs="Arial"/>
          <w:sz w:val="20"/>
        </w:rPr>
        <w:t xml:space="preserve"> </w:t>
      </w:r>
      <w:r w:rsidR="00DB17D8" w:rsidRPr="00C672DD">
        <w:rPr>
          <w:rFonts w:ascii="Arial" w:hAnsi="Arial" w:cs="Arial"/>
          <w:sz w:val="20"/>
        </w:rPr>
        <w:t>100 mgs</w:t>
      </w:r>
      <w:r w:rsidRPr="00C672DD">
        <w:rPr>
          <w:rFonts w:ascii="Arial" w:hAnsi="Arial" w:cs="Arial"/>
          <w:sz w:val="20"/>
        </w:rPr>
        <w:t xml:space="preserve"> maximum weight loss per ASTM D 4060.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Flammability: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Self-extinguishing per ASTM D 635.</w:t>
      </w:r>
    </w:p>
    <w:p w:rsidR="000E476D" w:rsidRPr="00C672DD" w:rsidRDefault="000E476D" w:rsidP="00C672DD">
      <w:pPr>
        <w:pStyle w:val="CMT"/>
        <w:numPr>
          <w:ilvl w:val="3"/>
          <w:numId w:val="27"/>
        </w:numPr>
        <w:spacing w:before="0"/>
        <w:contextualSpacing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first option in first subparagraph below if Class I floor finish materials are required; retain second option if Class II floor finish materials are required.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Hardness:</w:t>
      </w:r>
      <w:r w:rsidR="002C761F">
        <w:rPr>
          <w:rFonts w:ascii="Arial" w:hAnsi="Arial" w:cs="Arial"/>
          <w:sz w:val="20"/>
        </w:rPr>
        <w:t xml:space="preserve"> </w:t>
      </w:r>
      <w:r w:rsidR="00DB17D8" w:rsidRPr="00C672DD">
        <w:rPr>
          <w:rFonts w:ascii="Arial" w:hAnsi="Arial" w:cs="Arial"/>
          <w:sz w:val="20"/>
        </w:rPr>
        <w:t>85/65</w:t>
      </w:r>
      <w:r w:rsidRPr="00C672DD">
        <w:rPr>
          <w:rFonts w:ascii="Arial" w:hAnsi="Arial" w:cs="Arial"/>
          <w:sz w:val="20"/>
        </w:rPr>
        <w:t>, Shore D per ASTM D 2240.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Bond Strength:</w:t>
      </w:r>
      <w:r w:rsidR="002C761F">
        <w:rPr>
          <w:rFonts w:ascii="Arial" w:hAnsi="Arial" w:cs="Arial"/>
          <w:sz w:val="20"/>
        </w:rPr>
        <w:t xml:space="preserve"> </w:t>
      </w:r>
      <w:r w:rsidR="00DB17D8" w:rsidRPr="00C672DD">
        <w:rPr>
          <w:rFonts w:ascii="Arial" w:hAnsi="Arial" w:cs="Arial"/>
          <w:sz w:val="20"/>
        </w:rPr>
        <w:t>350psi</w:t>
      </w:r>
      <w:r w:rsidRPr="00C672DD">
        <w:rPr>
          <w:rFonts w:ascii="Arial" w:hAnsi="Arial" w:cs="Arial"/>
          <w:sz w:val="20"/>
        </w:rPr>
        <w:t>, 100 percent concrete failure per ACI 503R.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paragraph below to establish criteria for chemical resistance.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If retaining, and if criteria apply only to system's topcoat, revise to suit Project.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ACCESSORIES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first paragraph below if primer is required.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Some systems are self-priming.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Some manufacturers offer alternative primers.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Primer: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Type recommended by manufacturer for substrate and body coats indicated.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subparagraph below if required.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Formulation Description: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100 percent solids.</w:t>
      </w:r>
    </w:p>
    <w:p w:rsidR="00AC42F3" w:rsidRPr="00C672DD" w:rsidRDefault="00AC42F3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Waterproofing Membrane: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Type recommended by manufacturer for substrate and primer and body coats indicated.</w:t>
      </w:r>
    </w:p>
    <w:p w:rsidR="00AC42F3" w:rsidRPr="00C672DD" w:rsidRDefault="00AC42F3" w:rsidP="00C672DD">
      <w:pPr>
        <w:pStyle w:val="CMT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Retain subparagraph below if required.</w:t>
      </w:r>
    </w:p>
    <w:p w:rsidR="00AC42F3" w:rsidRPr="00C672DD" w:rsidRDefault="00AC42F3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 xml:space="preserve">General Polymers </w:t>
      </w:r>
      <w:proofErr w:type="spellStart"/>
      <w:r w:rsidRPr="00C672DD">
        <w:rPr>
          <w:rFonts w:ascii="Arial" w:hAnsi="Arial" w:cs="Arial"/>
          <w:sz w:val="20"/>
        </w:rPr>
        <w:t>Fastop</w:t>
      </w:r>
      <w:proofErr w:type="spellEnd"/>
      <w:r w:rsidRPr="00C672DD">
        <w:rPr>
          <w:rFonts w:ascii="Arial" w:hAnsi="Arial" w:cs="Arial"/>
          <w:sz w:val="20"/>
        </w:rPr>
        <w:t xml:space="preserve"> MVT moisture transmission barrier grout.</w:t>
      </w:r>
    </w:p>
    <w:p w:rsidR="00AC42F3" w:rsidRPr="00C672DD" w:rsidRDefault="00AC42F3" w:rsidP="00C672DD">
      <w:pPr>
        <w:pStyle w:val="PR3"/>
        <w:numPr>
          <w:ilvl w:val="3"/>
          <w:numId w:val="27"/>
        </w:numPr>
        <w:tabs>
          <w:tab w:val="clear" w:pos="864"/>
        </w:tabs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Liquid system is not acceptable</w:t>
      </w:r>
      <w:r w:rsidR="00593454" w:rsidRPr="00C672DD">
        <w:rPr>
          <w:rFonts w:ascii="Arial" w:hAnsi="Arial" w:cs="Arial"/>
          <w:sz w:val="20"/>
        </w:rPr>
        <w:t>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Patching and Fill Material: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Resinous product of or approved by resinous flooring manufacturer and recommended by manufacturer for application indicated.</w:t>
      </w:r>
    </w:p>
    <w:p w:rsidR="00AC42F3" w:rsidRPr="00C672DD" w:rsidRDefault="00AC42F3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Divider Strips: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 xml:space="preserve">L-type angle, </w:t>
      </w:r>
      <w:r w:rsidRPr="00C672DD">
        <w:rPr>
          <w:rStyle w:val="IP"/>
          <w:rFonts w:ascii="Arial" w:hAnsi="Arial" w:cs="Arial"/>
          <w:color w:val="auto"/>
          <w:sz w:val="20"/>
        </w:rPr>
        <w:t>1/4 inch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(6.4 mm)</w:t>
      </w:r>
      <w:r w:rsidRPr="00C672DD">
        <w:rPr>
          <w:rFonts w:ascii="Arial" w:hAnsi="Arial" w:cs="Arial"/>
          <w:sz w:val="20"/>
        </w:rPr>
        <w:t xml:space="preserve"> deep.</w:t>
      </w:r>
      <w:r w:rsidR="00BE594A" w:rsidRPr="00C672DD">
        <w:rPr>
          <w:rFonts w:ascii="Arial" w:hAnsi="Arial" w:cs="Arial"/>
          <w:sz w:val="20"/>
        </w:rPr>
        <w:t xml:space="preserve"> </w:t>
      </w:r>
    </w:p>
    <w:p w:rsidR="00AC42F3" w:rsidRPr="00C672DD" w:rsidRDefault="00AC42F3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Brass may react with resinous matrices.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Verify that material retained in "Material" Subparagraph below is acceptable to terrazzo manufacturers.</w:t>
      </w:r>
    </w:p>
    <w:p w:rsidR="00AC42F3" w:rsidRPr="00C672DD" w:rsidRDefault="00AC42F3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Material:</w:t>
      </w:r>
      <w:r w:rsidR="002C761F">
        <w:rPr>
          <w:rFonts w:ascii="Arial" w:hAnsi="Arial" w:cs="Arial"/>
          <w:sz w:val="20"/>
        </w:rPr>
        <w:t xml:space="preserve"> </w:t>
      </w:r>
      <w:r w:rsidR="00BE594A" w:rsidRPr="00C672DD">
        <w:rPr>
          <w:rFonts w:ascii="Arial" w:hAnsi="Arial" w:cs="Arial"/>
          <w:sz w:val="20"/>
        </w:rPr>
        <w:t>Aluminum</w:t>
      </w:r>
      <w:r w:rsidRPr="00C672DD">
        <w:rPr>
          <w:rFonts w:ascii="Arial" w:hAnsi="Arial" w:cs="Arial"/>
          <w:sz w:val="20"/>
        </w:rPr>
        <w:t>.</w:t>
      </w:r>
    </w:p>
    <w:p w:rsidR="00AC42F3" w:rsidRPr="00C672DD" w:rsidRDefault="00AC42F3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Style w:val="SI"/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sz w:val="20"/>
        </w:rPr>
        <w:t>Top Width: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Style w:val="IP"/>
          <w:rFonts w:ascii="Arial" w:hAnsi="Arial" w:cs="Arial"/>
          <w:color w:val="auto"/>
          <w:sz w:val="20"/>
        </w:rPr>
        <w:t>1/8 inch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(3.2 mm)</w:t>
      </w:r>
    </w:p>
    <w:p w:rsidR="00BE594A" w:rsidRPr="00C672DD" w:rsidRDefault="00BE594A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Control-Joint Strips: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Separate, double L-type angles, positioned back to back, that match material and color of divider strips and in depth required for topping thickness indicated.</w:t>
      </w:r>
    </w:p>
    <w:p w:rsidR="00AC42F3" w:rsidRPr="00C672DD" w:rsidRDefault="00AC42F3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Strip Adhesive: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Epoxy-resin adhesive recommended by adhesive manufacturer for this use</w:t>
      </w:r>
    </w:p>
    <w:p w:rsidR="00BE594A" w:rsidRPr="00C672DD" w:rsidRDefault="00BE594A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Anchoring Devices:</w:t>
      </w:r>
    </w:p>
    <w:p w:rsidR="00BE594A" w:rsidRPr="00C672DD" w:rsidRDefault="00BE594A" w:rsidP="00F65A8C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outlineLvl w:val="2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Strips: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Provide mechanical anchoring devices or adhesives for strip materials as recommended by manufacturer and required for secure attachment to substrate.</w:t>
      </w:r>
    </w:p>
    <w:p w:rsidR="000E476D" w:rsidRPr="00C672DD" w:rsidRDefault="000E476D" w:rsidP="00C672DD">
      <w:pPr>
        <w:pStyle w:val="PRT"/>
        <w:numPr>
          <w:ilvl w:val="0"/>
          <w:numId w:val="27"/>
        </w:numPr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lastRenderedPageBreak/>
        <w:t>EXECUTION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PREPARATION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Revise first paragraph below to suit resinous flooring system selected.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Some systems are moisture tolerant; consult manufacturers for guidance.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General: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Prepare and clean substrates according to resinous flooring manufacturer's written instructions for substrate indicated.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Provide clean, dry substrate for resinous flooring application.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Concrete Substrates: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Provide sound concrete surfaces free of laitance, glaze, efflorescence, curing compounds, form-release agents, dust, dirt, grease, oil, and other contaminants incompatible with resinous flooring.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Roughen concrete substrates as follows: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one of first two subparagraphs below.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See Evaluations.</w:t>
      </w:r>
    </w:p>
    <w:p w:rsidR="000E476D" w:rsidRPr="00C672DD" w:rsidRDefault="000E476D" w:rsidP="00C672DD">
      <w:pPr>
        <w:pStyle w:val="PR3"/>
        <w:numPr>
          <w:ilvl w:val="4"/>
          <w:numId w:val="27"/>
        </w:numPr>
        <w:tabs>
          <w:tab w:val="clear" w:pos="864"/>
          <w:tab w:val="clear" w:pos="2016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Shot-blast surfaces with an apparatus that abrades the concrete surface, contains the dispensed shot within the apparatus, and recirculates the shot by vacuum pickup.</w:t>
      </w:r>
    </w:p>
    <w:p w:rsidR="000E476D" w:rsidRPr="00C672DD" w:rsidRDefault="000E476D" w:rsidP="00C672DD">
      <w:pPr>
        <w:pStyle w:val="PR3"/>
        <w:numPr>
          <w:ilvl w:val="4"/>
          <w:numId w:val="27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Comply with ASTM C 811 requirements unless manufacturer's written instructions are more stringent.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Repair damaged and deteriorated concrete according to resinous flooring manufacturer's written instructions.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Verify that concrete substrates are dry and moisture-vapor emissions are within acceptable levels according to manufacturer's written instructions.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For applying impermeable resinous flooring systems, 3 lb of water/1000 sq. ft. (1.36 kg of water/92.9 sq. m) of slab area in 24 hours is generally considered a safe moisture-vapor-emission rate.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Consult manufacturers for appropriate rates for permeable systems that will allow moisture vapor to continue through the systems once cured.</w:t>
      </w:r>
    </w:p>
    <w:p w:rsidR="000E476D" w:rsidRPr="00C672DD" w:rsidRDefault="000E476D" w:rsidP="00C672DD">
      <w:pPr>
        <w:pStyle w:val="PR3"/>
        <w:numPr>
          <w:ilvl w:val="4"/>
          <w:numId w:val="27"/>
        </w:numPr>
        <w:tabs>
          <w:tab w:val="clear" w:pos="864"/>
          <w:tab w:val="clear" w:pos="2016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Perform anhydrous calcium chloride test, ASTM F 1869.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 xml:space="preserve">Proceed with application of resinous flooring only after substrates have maximum moisture-vapor-emission rate of </w:t>
      </w:r>
      <w:r w:rsidRPr="00C672DD">
        <w:rPr>
          <w:rStyle w:val="IP"/>
          <w:rFonts w:ascii="Arial" w:hAnsi="Arial" w:cs="Arial"/>
          <w:color w:val="auto"/>
          <w:sz w:val="20"/>
        </w:rPr>
        <w:t>3 lb of water/1000 sq. ft.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(1.36 kg of water/92.9 sq. m)</w:t>
      </w:r>
      <w:r w:rsidRPr="00C672DD">
        <w:rPr>
          <w:rFonts w:ascii="Arial" w:hAnsi="Arial" w:cs="Arial"/>
          <w:sz w:val="20"/>
        </w:rPr>
        <w:t>.</w:t>
      </w:r>
    </w:p>
    <w:p w:rsidR="000E476D" w:rsidRPr="00C672DD" w:rsidRDefault="000E476D" w:rsidP="00C672DD">
      <w:pPr>
        <w:pStyle w:val="PR3"/>
        <w:numPr>
          <w:ilvl w:val="4"/>
          <w:numId w:val="27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Perform plastic sheet test, ASTM D 4263.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Proceed with application only after testing indicates absence of moisture in substrates.</w:t>
      </w:r>
    </w:p>
    <w:p w:rsidR="000E476D" w:rsidRPr="00C672DD" w:rsidRDefault="000E476D" w:rsidP="00C672DD">
      <w:pPr>
        <w:pStyle w:val="PR3"/>
        <w:numPr>
          <w:ilvl w:val="4"/>
          <w:numId w:val="27"/>
        </w:numPr>
        <w:tabs>
          <w:tab w:val="clear" w:pos="864"/>
          <w:tab w:val="clear" w:pos="2016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Perform relative humidity test using in situ probes, ASTM F 2170.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Proceed with installation only after substrates have a maximum [75] percent relative humidity level measurement.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Alkalinity and Adhesion Testing: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Verify that concrete substrates have pH within acceptable range.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Perform tests recommended by manufacturer.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Proceed with application only after substrates pass testing.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Resinous Materials: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Mix components and prepare materials according to resinous flooring manufacturer's written instructions.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Use patching and fill material to fill holes and depressions in substrates according to manufacturer's written instructions.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Treat control joints and other nonmoving substrate cracks to prevent cracks from reflecting through resinous flooring according to manufacturer's written instructions.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APPLICATION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General: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Apply components of resinous flooring system according to manufacturer's written instructions to produce a uniform, monolithic wearing surface of thickness indicated.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lastRenderedPageBreak/>
        <w:t xml:space="preserve">Coordinate application of components to provide optimum adhesion of resinous flooring system to substrate, and optimum </w:t>
      </w:r>
      <w:proofErr w:type="spellStart"/>
      <w:r w:rsidRPr="00C672DD">
        <w:rPr>
          <w:rFonts w:ascii="Arial" w:hAnsi="Arial" w:cs="Arial"/>
          <w:sz w:val="20"/>
        </w:rPr>
        <w:t>intercoat</w:t>
      </w:r>
      <w:proofErr w:type="spellEnd"/>
      <w:r w:rsidRPr="00C672DD">
        <w:rPr>
          <w:rFonts w:ascii="Arial" w:hAnsi="Arial" w:cs="Arial"/>
          <w:sz w:val="20"/>
        </w:rPr>
        <w:t xml:space="preserve"> adhesion.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Cure resinous flooring components according to manufacturer's written instructions.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Prevent contamination during application and curing processes.</w:t>
      </w:r>
    </w:p>
    <w:p w:rsidR="00D52843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At substrate expansion and isolation joints, comply with resinous flooring manufacturer's written instructions.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 xml:space="preserve">Apply </w:t>
      </w:r>
      <w:r w:rsidR="00BE594A" w:rsidRPr="00C672DD">
        <w:rPr>
          <w:rFonts w:ascii="Arial" w:hAnsi="Arial" w:cs="Arial"/>
          <w:sz w:val="20"/>
        </w:rPr>
        <w:t>moisture transmission barrier grout</w:t>
      </w:r>
      <w:r w:rsidRPr="00C672DD">
        <w:rPr>
          <w:rFonts w:ascii="Arial" w:hAnsi="Arial" w:cs="Arial"/>
          <w:sz w:val="20"/>
        </w:rPr>
        <w:t xml:space="preserve"> over prepared substrate at manufacturer's recommended spreading rate.</w:t>
      </w:r>
    </w:p>
    <w:p w:rsidR="00BE594A" w:rsidRPr="00C672DD" w:rsidRDefault="00BE594A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Install metal divider strips at floor perimeters, 6” away from face of wall.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Integral Cove Base: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Apply cove base mix to wall surfaces before applying flooring.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 xml:space="preserve">Apply according to manufacturer's written instructions and details including those for taping, mixing, priming, troweling, sanding, and </w:t>
      </w:r>
      <w:proofErr w:type="spellStart"/>
      <w:r w:rsidRPr="00C672DD">
        <w:rPr>
          <w:rFonts w:ascii="Arial" w:hAnsi="Arial" w:cs="Arial"/>
          <w:sz w:val="20"/>
        </w:rPr>
        <w:t>topcoating</w:t>
      </w:r>
      <w:proofErr w:type="spellEnd"/>
      <w:r w:rsidRPr="00C672DD">
        <w:rPr>
          <w:rFonts w:ascii="Arial" w:hAnsi="Arial" w:cs="Arial"/>
          <w:sz w:val="20"/>
        </w:rPr>
        <w:t xml:space="preserve"> of cove base.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Round internal and external corners.</w:t>
      </w:r>
    </w:p>
    <w:p w:rsidR="000E476D" w:rsidRPr="00C672DD" w:rsidRDefault="000E476D" w:rsidP="00C672DD">
      <w:pPr>
        <w:pStyle w:val="PR2"/>
        <w:numPr>
          <w:ilvl w:val="3"/>
          <w:numId w:val="27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Integral Cove Base:</w:t>
      </w:r>
      <w:r w:rsidR="002C761F">
        <w:rPr>
          <w:rFonts w:ascii="Arial" w:hAnsi="Arial" w:cs="Arial"/>
          <w:sz w:val="20"/>
        </w:rPr>
        <w:t xml:space="preserve"> </w:t>
      </w:r>
      <w:r w:rsidR="007144BD" w:rsidRPr="00C672DD">
        <w:rPr>
          <w:rStyle w:val="IP"/>
          <w:rFonts w:ascii="Arial" w:hAnsi="Arial" w:cs="Arial"/>
          <w:color w:val="auto"/>
          <w:sz w:val="20"/>
        </w:rPr>
        <w:t>6</w:t>
      </w:r>
      <w:r w:rsidRPr="00C672DD">
        <w:rPr>
          <w:rStyle w:val="IP"/>
          <w:rFonts w:ascii="Arial" w:hAnsi="Arial" w:cs="Arial"/>
          <w:color w:val="auto"/>
          <w:sz w:val="20"/>
        </w:rPr>
        <w:t xml:space="preserve"> inches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(100 mm)</w:t>
      </w:r>
      <w:r w:rsidRPr="00C672DD">
        <w:rPr>
          <w:rFonts w:ascii="Arial" w:hAnsi="Arial" w:cs="Arial"/>
          <w:sz w:val="20"/>
        </w:rPr>
        <w:t xml:space="preserve"> high.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 xml:space="preserve">Apply troweled or </w:t>
      </w:r>
      <w:proofErr w:type="spellStart"/>
      <w:r w:rsidRPr="00C672DD">
        <w:rPr>
          <w:rFonts w:ascii="Arial" w:hAnsi="Arial" w:cs="Arial"/>
          <w:sz w:val="20"/>
        </w:rPr>
        <w:t>screeded</w:t>
      </w:r>
      <w:proofErr w:type="spellEnd"/>
      <w:r w:rsidRPr="00C672DD">
        <w:rPr>
          <w:rFonts w:ascii="Arial" w:hAnsi="Arial" w:cs="Arial"/>
          <w:sz w:val="20"/>
        </w:rPr>
        <w:t xml:space="preserve"> body coats in thickness indicated for flooring system.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Hand or power trowel and grout to fill voids.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When cured, remove trowel marks and roughness using method recommended by manufacturer.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Apply grout coat, of type recommended by resinous flooring manufacturer, to fill voids in surface of final body coat and to produce wearing surface indicated.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Apply topcoats in number indicated for flooring system and at spreading rates recommended in writing by manufacturer.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FIELD QUALITY CONTROL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With Owner's written permission, retain first paragraph below to ensure compliance with thickness requirements.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Core sampling requires repairing damage caused by testing.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Core Sampling: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 xml:space="preserve">At the direction of Owner and at locations designated by Owner, take one core sample per </w:t>
      </w:r>
      <w:r w:rsidRPr="00C672DD">
        <w:rPr>
          <w:rStyle w:val="IP"/>
          <w:rFonts w:ascii="Arial" w:hAnsi="Arial" w:cs="Arial"/>
          <w:color w:val="auto"/>
          <w:sz w:val="20"/>
        </w:rPr>
        <w:t>1000 sq. ft.</w:t>
      </w:r>
      <w:r w:rsidRPr="00C672DD">
        <w:rPr>
          <w:rStyle w:val="SI"/>
          <w:rFonts w:ascii="Arial" w:hAnsi="Arial" w:cs="Arial"/>
          <w:color w:val="auto"/>
          <w:sz w:val="20"/>
        </w:rPr>
        <w:t xml:space="preserve"> (92.9 sq. m)</w:t>
      </w:r>
      <w:r w:rsidRPr="00C672DD">
        <w:rPr>
          <w:rFonts w:ascii="Arial" w:hAnsi="Arial" w:cs="Arial"/>
          <w:sz w:val="20"/>
        </w:rPr>
        <w:t xml:space="preserve"> of resinous flooring, or portion of, to verify thickness.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For each sample that fails to comply with requirements, take two additional samples.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Repair damage caused by coring and correct deficiencies.</w:t>
      </w:r>
    </w:p>
    <w:p w:rsidR="000E476D" w:rsidRPr="00C672DD" w:rsidRDefault="000E476D" w:rsidP="00C672DD">
      <w:pPr>
        <w:pStyle w:val="CMT"/>
        <w:rPr>
          <w:rFonts w:ascii="Arial" w:hAnsi="Arial" w:cs="Arial"/>
          <w:color w:val="auto"/>
          <w:sz w:val="20"/>
        </w:rPr>
      </w:pPr>
      <w:r w:rsidRPr="00C672DD">
        <w:rPr>
          <w:rFonts w:ascii="Arial" w:hAnsi="Arial" w:cs="Arial"/>
          <w:color w:val="auto"/>
          <w:sz w:val="20"/>
        </w:rPr>
        <w:t>Retain paragraph below if size or nature of Project warrants material sampling.</w:t>
      </w:r>
      <w:r w:rsidR="002C761F">
        <w:rPr>
          <w:rFonts w:ascii="Arial" w:hAnsi="Arial" w:cs="Arial"/>
          <w:color w:val="auto"/>
          <w:sz w:val="20"/>
        </w:rPr>
        <w:t xml:space="preserve"> </w:t>
      </w:r>
      <w:r w:rsidRPr="00C672DD">
        <w:rPr>
          <w:rFonts w:ascii="Arial" w:hAnsi="Arial" w:cs="Arial"/>
          <w:color w:val="auto"/>
          <w:sz w:val="20"/>
        </w:rPr>
        <w:t>If retaining, revise to suit Project.</w:t>
      </w:r>
    </w:p>
    <w:p w:rsidR="000E476D" w:rsidRPr="00C672DD" w:rsidRDefault="000E476D" w:rsidP="00C672DD">
      <w:pPr>
        <w:pStyle w:val="ART"/>
        <w:numPr>
          <w:ilvl w:val="1"/>
          <w:numId w:val="27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PROTECTION</w:t>
      </w:r>
    </w:p>
    <w:p w:rsidR="000E476D" w:rsidRPr="00C672DD" w:rsidRDefault="000E476D" w:rsidP="00C672DD">
      <w:pPr>
        <w:pStyle w:val="PR1"/>
        <w:numPr>
          <w:ilvl w:val="2"/>
          <w:numId w:val="27"/>
        </w:numPr>
        <w:tabs>
          <w:tab w:val="clear" w:pos="864"/>
        </w:tabs>
        <w:rPr>
          <w:rFonts w:ascii="Arial" w:hAnsi="Arial" w:cs="Arial"/>
          <w:sz w:val="20"/>
        </w:rPr>
      </w:pPr>
      <w:r w:rsidRPr="00C672DD">
        <w:rPr>
          <w:rFonts w:ascii="Arial" w:hAnsi="Arial" w:cs="Arial"/>
          <w:sz w:val="20"/>
        </w:rPr>
        <w:t>Protect resinous flooring from damage and wear during the remainder of construction period.</w:t>
      </w:r>
      <w:r w:rsidR="002C761F">
        <w:rPr>
          <w:rFonts w:ascii="Arial" w:hAnsi="Arial" w:cs="Arial"/>
          <w:sz w:val="20"/>
        </w:rPr>
        <w:t xml:space="preserve"> </w:t>
      </w:r>
      <w:r w:rsidRPr="00C672DD">
        <w:rPr>
          <w:rFonts w:ascii="Arial" w:hAnsi="Arial" w:cs="Arial"/>
          <w:sz w:val="20"/>
        </w:rPr>
        <w:t>Use protective methods and materials, including temporary covering, recommended in writing by resinous flooring manufacturer.</w:t>
      </w:r>
    </w:p>
    <w:p w:rsidR="000E476D" w:rsidRPr="00A1142B" w:rsidRDefault="000E476D" w:rsidP="00C672DD">
      <w:pPr>
        <w:pStyle w:val="EOS"/>
        <w:spacing w:before="240"/>
        <w:jc w:val="center"/>
        <w:rPr>
          <w:rFonts w:ascii="Arial" w:hAnsi="Arial" w:cs="Arial"/>
          <w:b/>
          <w:sz w:val="20"/>
        </w:rPr>
      </w:pPr>
      <w:r w:rsidRPr="00A1142B">
        <w:rPr>
          <w:rFonts w:ascii="Arial" w:hAnsi="Arial" w:cs="Arial"/>
          <w:b/>
          <w:sz w:val="20"/>
        </w:rPr>
        <w:t>END OF SECTION</w:t>
      </w:r>
    </w:p>
    <w:sectPr w:rsidR="000E476D" w:rsidRPr="00A1142B" w:rsidSect="00352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A2E" w:rsidRDefault="00ED0A2E" w:rsidP="00F40E3D">
      <w:r>
        <w:separator/>
      </w:r>
    </w:p>
  </w:endnote>
  <w:endnote w:type="continuationSeparator" w:id="0">
    <w:p w:rsidR="00ED0A2E" w:rsidRDefault="00ED0A2E" w:rsidP="00F4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6A9" w:rsidRDefault="009626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6A9" w:rsidRDefault="009626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A2E" w:rsidRDefault="00ED0A2E" w:rsidP="00F40E3D">
      <w:r>
        <w:separator/>
      </w:r>
    </w:p>
  </w:footnote>
  <w:footnote w:type="continuationSeparator" w:id="0">
    <w:p w:rsidR="00ED0A2E" w:rsidRDefault="00ED0A2E" w:rsidP="00F40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6A9" w:rsidRDefault="009626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Look w:val="04A0" w:firstRow="1" w:lastRow="0" w:firstColumn="1" w:lastColumn="0" w:noHBand="0" w:noVBand="1"/>
    </w:tblPr>
    <w:tblGrid>
      <w:gridCol w:w="5058"/>
      <w:gridCol w:w="4500"/>
    </w:tblGrid>
    <w:tr w:rsidR="00AC42F3" w:rsidRPr="006A1DDA" w:rsidTr="00DA38BA">
      <w:tc>
        <w:tcPr>
          <w:tcW w:w="5058" w:type="dxa"/>
        </w:tcPr>
        <w:p w:rsidR="009626A9" w:rsidRDefault="009626A9" w:rsidP="009626A9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UWMC Master Specification</w:t>
          </w:r>
        </w:p>
        <w:p w:rsidR="009626A9" w:rsidRDefault="009626A9" w:rsidP="009626A9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 Project No. 204705</w:t>
          </w:r>
        </w:p>
        <w:p w:rsidR="009626A9" w:rsidRDefault="009626A9" w:rsidP="009626A9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Buffalo Design</w:t>
          </w:r>
        </w:p>
        <w:p w:rsidR="00AC42F3" w:rsidRPr="00FF6A9E" w:rsidRDefault="009626A9" w:rsidP="009626A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31 August 2018</w:t>
          </w:r>
        </w:p>
      </w:tc>
      <w:tc>
        <w:tcPr>
          <w:tcW w:w="4500" w:type="dxa"/>
        </w:tcPr>
        <w:p w:rsidR="00AC42F3" w:rsidRPr="00FF6A9E" w:rsidRDefault="00AC42F3" w:rsidP="00DA38BA">
          <w:pPr>
            <w:pStyle w:val="Header"/>
            <w:jc w:val="right"/>
            <w:rPr>
              <w:rFonts w:ascii="Arial" w:hAnsi="Arial" w:cs="Arial"/>
              <w:sz w:val="18"/>
              <w:szCs w:val="18"/>
            </w:rPr>
          </w:pPr>
          <w:r w:rsidRPr="00FF6A9E">
            <w:rPr>
              <w:rFonts w:ascii="Arial" w:hAnsi="Arial" w:cs="Arial"/>
              <w:sz w:val="18"/>
              <w:szCs w:val="18"/>
            </w:rPr>
            <w:t xml:space="preserve">Section 09 </w:t>
          </w:r>
          <w:r>
            <w:rPr>
              <w:rFonts w:ascii="Arial" w:hAnsi="Arial" w:cs="Arial"/>
              <w:sz w:val="18"/>
              <w:szCs w:val="18"/>
            </w:rPr>
            <w:t>67</w:t>
          </w:r>
          <w:r w:rsidRPr="00FF6A9E">
            <w:rPr>
              <w:rFonts w:ascii="Arial" w:hAnsi="Arial" w:cs="Arial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sz w:val="18"/>
              <w:szCs w:val="18"/>
            </w:rPr>
            <w:t>23</w:t>
          </w:r>
        </w:p>
        <w:p w:rsidR="00AC42F3" w:rsidRPr="00FF6A9E" w:rsidRDefault="00AC42F3" w:rsidP="00DA38BA">
          <w:pPr>
            <w:pStyle w:val="Header"/>
            <w:jc w:val="right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RESINOUS FLOORING</w:t>
          </w:r>
        </w:p>
        <w:p w:rsidR="00AC42F3" w:rsidRPr="00FF6A9E" w:rsidRDefault="00AC42F3" w:rsidP="00DA38BA">
          <w:pPr>
            <w:pStyle w:val="Header"/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FF6A9E">
            <w:rPr>
              <w:rFonts w:ascii="Arial" w:hAnsi="Arial" w:cs="Arial"/>
              <w:sz w:val="18"/>
              <w:szCs w:val="18"/>
            </w:rPr>
            <w:t xml:space="preserve">Page </w:t>
          </w:r>
          <w:r w:rsidRPr="00FF6A9E">
            <w:rPr>
              <w:rFonts w:ascii="Arial" w:hAnsi="Arial" w:cs="Arial"/>
              <w:sz w:val="18"/>
              <w:szCs w:val="18"/>
            </w:rPr>
            <w:fldChar w:fldCharType="begin"/>
          </w:r>
          <w:r w:rsidRPr="00FF6A9E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FF6A9E">
            <w:rPr>
              <w:rFonts w:ascii="Arial" w:hAnsi="Arial" w:cs="Arial"/>
              <w:sz w:val="18"/>
              <w:szCs w:val="18"/>
            </w:rPr>
            <w:fldChar w:fldCharType="separate"/>
          </w:r>
          <w:r w:rsidR="00C107B8">
            <w:rPr>
              <w:rFonts w:ascii="Arial" w:hAnsi="Arial" w:cs="Arial"/>
              <w:noProof/>
              <w:sz w:val="18"/>
              <w:szCs w:val="18"/>
            </w:rPr>
            <w:t>5</w:t>
          </w:r>
          <w:r w:rsidRPr="00FF6A9E">
            <w:rPr>
              <w:rFonts w:ascii="Arial" w:hAnsi="Arial" w:cs="Arial"/>
              <w:sz w:val="18"/>
              <w:szCs w:val="18"/>
            </w:rPr>
            <w:fldChar w:fldCharType="end"/>
          </w:r>
          <w:r w:rsidRPr="00FF6A9E">
            <w:rPr>
              <w:rFonts w:ascii="Arial" w:hAnsi="Arial" w:cs="Arial"/>
              <w:sz w:val="18"/>
              <w:szCs w:val="18"/>
            </w:rPr>
            <w:t xml:space="preserve"> of </w:t>
          </w:r>
          <w:r w:rsidRPr="00FF6A9E">
            <w:rPr>
              <w:rFonts w:ascii="Arial" w:hAnsi="Arial" w:cs="Arial"/>
              <w:sz w:val="18"/>
              <w:szCs w:val="18"/>
            </w:rPr>
            <w:fldChar w:fldCharType="begin"/>
          </w:r>
          <w:r w:rsidRPr="00FF6A9E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FF6A9E">
            <w:rPr>
              <w:rFonts w:ascii="Arial" w:hAnsi="Arial" w:cs="Arial"/>
              <w:sz w:val="18"/>
              <w:szCs w:val="18"/>
            </w:rPr>
            <w:fldChar w:fldCharType="separate"/>
          </w:r>
          <w:r w:rsidR="00C107B8">
            <w:rPr>
              <w:rFonts w:ascii="Arial" w:hAnsi="Arial" w:cs="Arial"/>
              <w:noProof/>
              <w:sz w:val="18"/>
              <w:szCs w:val="18"/>
            </w:rPr>
            <w:t>5</w:t>
          </w:r>
          <w:r w:rsidRPr="00FF6A9E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AC42F3" w:rsidRPr="00DA38BA" w:rsidRDefault="00AC42F3" w:rsidP="00DA3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6A9" w:rsidRDefault="009626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  <w:rPr>
        <w:rFonts w:cs="Times New Roman"/>
      </w:rPr>
    </w:lvl>
    <w:lvl w:ilvl="1">
      <w:numFmt w:val="decimal"/>
      <w:pStyle w:val="SUT"/>
      <w:suff w:val="nothing"/>
      <w:lvlText w:val="SCHEDULE %2 - "/>
      <w:lvlJc w:val="left"/>
      <w:rPr>
        <w:rFonts w:cs="Times New Roman"/>
      </w:rPr>
    </w:lvl>
    <w:lvl w:ilvl="2">
      <w:numFmt w:val="decimal"/>
      <w:pStyle w:val="DST"/>
      <w:suff w:val="nothing"/>
      <w:lvlText w:val="PRODUCT DATA SHEET %3 - "/>
      <w:lvlJc w:val="left"/>
      <w:rPr>
        <w:rFonts w:cs="Times New Roman"/>
      </w:rPr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  <w:rPr>
        <w:rFonts w:cs="Times New Roman"/>
      </w:r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  <w:rPr>
        <w:rFonts w:cs="Times New Roman"/>
      </w:r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  <w:rPr>
        <w:rFonts w:cs="Times New Roman"/>
      </w:r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  <w:rPr>
        <w:rFonts w:cs="Times New Roman"/>
      </w:r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  <w:rPr>
        <w:rFonts w:cs="Times New Roman"/>
      </w:rPr>
    </w:lvl>
  </w:abstractNum>
  <w:abstractNum w:abstractNumId="1" w15:restartNumberingAfterBreak="0">
    <w:nsid w:val="05316803"/>
    <w:multiLevelType w:val="multilevel"/>
    <w:tmpl w:val="899A54AE"/>
    <w:lvl w:ilvl="0">
      <w:start w:val="2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" w15:restartNumberingAfterBreak="0">
    <w:nsid w:val="06F765A2"/>
    <w:multiLevelType w:val="multilevel"/>
    <w:tmpl w:val="6914C596"/>
    <w:lvl w:ilvl="0">
      <w:start w:val="3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" w15:restartNumberingAfterBreak="0">
    <w:nsid w:val="0C38653A"/>
    <w:multiLevelType w:val="multilevel"/>
    <w:tmpl w:val="C1BA7F9C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" w15:restartNumberingAfterBreak="0">
    <w:nsid w:val="0DF93C03"/>
    <w:multiLevelType w:val="multilevel"/>
    <w:tmpl w:val="B63A4CAC"/>
    <w:lvl w:ilvl="0">
      <w:start w:val="7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4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5" w15:restartNumberingAfterBreak="0">
    <w:nsid w:val="0F1A07AD"/>
    <w:multiLevelType w:val="multilevel"/>
    <w:tmpl w:val="43A8F628"/>
    <w:lvl w:ilvl="0">
      <w:start w:val="3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6" w15:restartNumberingAfterBreak="0">
    <w:nsid w:val="18163BFD"/>
    <w:multiLevelType w:val="multilevel"/>
    <w:tmpl w:val="F5B23062"/>
    <w:lvl w:ilvl="0">
      <w:start w:val="2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7" w15:restartNumberingAfterBreak="0">
    <w:nsid w:val="199E779C"/>
    <w:multiLevelType w:val="multilevel"/>
    <w:tmpl w:val="2FB6E0AE"/>
    <w:lvl w:ilvl="0">
      <w:start w:val="2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3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8" w15:restartNumberingAfterBreak="0">
    <w:nsid w:val="258B0568"/>
    <w:multiLevelType w:val="multilevel"/>
    <w:tmpl w:val="C2BE73F4"/>
    <w:lvl w:ilvl="0">
      <w:start w:val="3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9" w15:restartNumberingAfterBreak="0">
    <w:nsid w:val="27CB5EC7"/>
    <w:multiLevelType w:val="multilevel"/>
    <w:tmpl w:val="6E02DB30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10" w15:restartNumberingAfterBreak="0">
    <w:nsid w:val="285A4256"/>
    <w:multiLevelType w:val="multilevel"/>
    <w:tmpl w:val="3FAC137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1" w15:restartNumberingAfterBreak="0">
    <w:nsid w:val="2B95391D"/>
    <w:multiLevelType w:val="multilevel"/>
    <w:tmpl w:val="FB08EC4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2" w15:restartNumberingAfterBreak="0">
    <w:nsid w:val="2EEB3185"/>
    <w:multiLevelType w:val="multilevel"/>
    <w:tmpl w:val="FD08B042"/>
    <w:lvl w:ilvl="0">
      <w:start w:val="2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3" w15:restartNumberingAfterBreak="0">
    <w:nsid w:val="36C30D77"/>
    <w:multiLevelType w:val="multilevel"/>
    <w:tmpl w:val="6FC4385C"/>
    <w:lvl w:ilvl="0">
      <w:start w:val="1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3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4" w15:restartNumberingAfterBreak="0">
    <w:nsid w:val="396D4298"/>
    <w:multiLevelType w:val="multilevel"/>
    <w:tmpl w:val="C6D8FF4A"/>
    <w:lvl w:ilvl="0">
      <w:start w:val="6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4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5" w15:restartNumberingAfterBreak="0">
    <w:nsid w:val="3CDA4832"/>
    <w:multiLevelType w:val="multilevel"/>
    <w:tmpl w:val="55982374"/>
    <w:lvl w:ilvl="0">
      <w:start w:val="2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5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6" w15:restartNumberingAfterBreak="0">
    <w:nsid w:val="5384455F"/>
    <w:multiLevelType w:val="multilevel"/>
    <w:tmpl w:val="5BECC73A"/>
    <w:lvl w:ilvl="0">
      <w:start w:val="3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7" w15:restartNumberingAfterBreak="0">
    <w:nsid w:val="55561C12"/>
    <w:multiLevelType w:val="multilevel"/>
    <w:tmpl w:val="AF26B5D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8" w15:restartNumberingAfterBreak="0">
    <w:nsid w:val="59357FF7"/>
    <w:multiLevelType w:val="multilevel"/>
    <w:tmpl w:val="EEE45DB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5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9" w15:restartNumberingAfterBreak="0">
    <w:nsid w:val="603757C5"/>
    <w:multiLevelType w:val="multilevel"/>
    <w:tmpl w:val="9B72D2A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0" w15:restartNumberingAfterBreak="0">
    <w:nsid w:val="61FC4707"/>
    <w:multiLevelType w:val="multilevel"/>
    <w:tmpl w:val="DB00180C"/>
    <w:lvl w:ilvl="0">
      <w:start w:val="3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4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1" w15:restartNumberingAfterBreak="0">
    <w:nsid w:val="709260AC"/>
    <w:multiLevelType w:val="multilevel"/>
    <w:tmpl w:val="6C207B3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2" w15:restartNumberingAfterBreak="0">
    <w:nsid w:val="72EB6CD5"/>
    <w:multiLevelType w:val="multilevel"/>
    <w:tmpl w:val="C2CA374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5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3" w15:restartNumberingAfterBreak="0">
    <w:nsid w:val="73210AD9"/>
    <w:multiLevelType w:val="multilevel"/>
    <w:tmpl w:val="43A8F628"/>
    <w:lvl w:ilvl="0">
      <w:start w:val="3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4" w15:restartNumberingAfterBreak="0">
    <w:nsid w:val="73D15E45"/>
    <w:multiLevelType w:val="multilevel"/>
    <w:tmpl w:val="6C207B3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5" w15:restartNumberingAfterBreak="0">
    <w:nsid w:val="78883CD3"/>
    <w:multiLevelType w:val="multilevel"/>
    <w:tmpl w:val="7108DA70"/>
    <w:lvl w:ilvl="0">
      <w:start w:val="2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num w:numId="1">
    <w:abstractNumId w:val="0"/>
  </w:num>
  <w:num w:numId="2">
    <w:abstractNumId w:val="21"/>
  </w:num>
  <w:num w:numId="3">
    <w:abstractNumId w:val="24"/>
  </w:num>
  <w:num w:numId="4">
    <w:abstractNumId w:val="17"/>
  </w:num>
  <w:num w:numId="5">
    <w:abstractNumId w:val="10"/>
  </w:num>
  <w:num w:numId="6">
    <w:abstractNumId w:val="3"/>
  </w:num>
  <w:num w:numId="7">
    <w:abstractNumId w:val="19"/>
  </w:num>
  <w:num w:numId="8">
    <w:abstractNumId w:val="18"/>
  </w:num>
  <w:num w:numId="9">
    <w:abstractNumId w:val="22"/>
  </w:num>
  <w:num w:numId="10">
    <w:abstractNumId w:val="22"/>
    <w:lvlOverride w:ilvl="0">
      <w:lvl w:ilvl="0">
        <w:start w:val="1"/>
        <w:numFmt w:val="decimal"/>
        <w:suff w:val="nothing"/>
        <w:lvlText w:val="PART %1 - "/>
        <w:lvlJc w:val="left"/>
        <w:pPr>
          <w:ind w:left="0" w:firstLine="0"/>
        </w:pPr>
        <w:rPr>
          <w:rFonts w:ascii="Arial" w:hAnsi="Arial" w:hint="default"/>
          <w:b/>
          <w:i w:val="0"/>
        </w:rPr>
      </w:lvl>
    </w:lvlOverride>
    <w:lvlOverride w:ilvl="1">
      <w:lvl w:ilvl="1">
        <w:start w:val="5"/>
        <w:numFmt w:val="decimal"/>
        <w:lvlText w:val="%1.%2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4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3168"/>
          </w:tabs>
          <w:ind w:left="3168" w:hanging="49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lvlText w:val="(%8)"/>
        <w:lvlJc w:val="left"/>
        <w:pPr>
          <w:tabs>
            <w:tab w:val="num" w:pos="3168"/>
          </w:tabs>
          <w:ind w:left="3168" w:hanging="432"/>
        </w:pPr>
        <w:rPr>
          <w:rFonts w:ascii="Arial" w:hAnsi="Arial" w:hint="default"/>
        </w:rPr>
      </w:lvl>
    </w:lvlOverride>
    <w:lvlOverride w:ilvl="8">
      <w:lvl w:ilvl="8">
        <w:start w:val="1"/>
        <w:numFmt w:val="lowerLetter"/>
        <w:lvlText w:val="(%9)"/>
        <w:lvlJc w:val="left"/>
        <w:pPr>
          <w:tabs>
            <w:tab w:val="num" w:pos="3600"/>
          </w:tabs>
          <w:ind w:left="3600" w:hanging="432"/>
        </w:pPr>
        <w:rPr>
          <w:rFonts w:ascii="Arial" w:hAnsi="Arial" w:hint="default"/>
        </w:rPr>
      </w:lvl>
    </w:lvlOverride>
  </w:num>
  <w:num w:numId="11">
    <w:abstractNumId w:val="12"/>
  </w:num>
  <w:num w:numId="12">
    <w:abstractNumId w:val="25"/>
  </w:num>
  <w:num w:numId="13">
    <w:abstractNumId w:val="1"/>
  </w:num>
  <w:num w:numId="14">
    <w:abstractNumId w:val="6"/>
  </w:num>
  <w:num w:numId="15">
    <w:abstractNumId w:val="13"/>
  </w:num>
  <w:num w:numId="16">
    <w:abstractNumId w:val="7"/>
  </w:num>
  <w:num w:numId="17">
    <w:abstractNumId w:val="15"/>
  </w:num>
  <w:num w:numId="18">
    <w:abstractNumId w:val="23"/>
  </w:num>
  <w:num w:numId="19">
    <w:abstractNumId w:val="5"/>
  </w:num>
  <w:num w:numId="20">
    <w:abstractNumId w:val="16"/>
  </w:num>
  <w:num w:numId="21">
    <w:abstractNumId w:val="2"/>
  </w:num>
  <w:num w:numId="22">
    <w:abstractNumId w:val="8"/>
  </w:num>
  <w:num w:numId="23">
    <w:abstractNumId w:val="14"/>
  </w:num>
  <w:num w:numId="24">
    <w:abstractNumId w:val="4"/>
  </w:num>
  <w:num w:numId="25">
    <w:abstractNumId w:val="20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proofState w:spelling="clean" w:grammar="clean"/>
  <w:doNotTrackMoves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printColBlack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I" w:val="2/1/2010"/>
    <w:docVar w:name="Format" w:val="1"/>
    <w:docVar w:name="MF04" w:val="096723"/>
    <w:docVar w:name="MF95" w:val="03541"/>
    <w:docVar w:name="MFOrigin" w:val="MF04"/>
    <w:docVar w:name="SectionID" w:val="292"/>
    <w:docVar w:name="Version" w:val="2638"/>
  </w:docVars>
  <w:rsids>
    <w:rsidRoot w:val="00E075BC"/>
    <w:rsid w:val="000622AA"/>
    <w:rsid w:val="0008524A"/>
    <w:rsid w:val="000B16AA"/>
    <w:rsid w:val="000C0E62"/>
    <w:rsid w:val="000C2BA5"/>
    <w:rsid w:val="000C4BCF"/>
    <w:rsid w:val="000E476D"/>
    <w:rsid w:val="00113AE7"/>
    <w:rsid w:val="00155E3A"/>
    <w:rsid w:val="00184A13"/>
    <w:rsid w:val="001B3182"/>
    <w:rsid w:val="0029753C"/>
    <w:rsid w:val="002C4B73"/>
    <w:rsid w:val="002C761F"/>
    <w:rsid w:val="002E6127"/>
    <w:rsid w:val="00324F83"/>
    <w:rsid w:val="00327791"/>
    <w:rsid w:val="0035283C"/>
    <w:rsid w:val="00371F97"/>
    <w:rsid w:val="00416B5A"/>
    <w:rsid w:val="004300E9"/>
    <w:rsid w:val="004937D7"/>
    <w:rsid w:val="004D1C02"/>
    <w:rsid w:val="00593454"/>
    <w:rsid w:val="005A650D"/>
    <w:rsid w:val="00667025"/>
    <w:rsid w:val="006808B2"/>
    <w:rsid w:val="00682ACA"/>
    <w:rsid w:val="006871E7"/>
    <w:rsid w:val="006E5C10"/>
    <w:rsid w:val="007144BD"/>
    <w:rsid w:val="00721881"/>
    <w:rsid w:val="00810AFB"/>
    <w:rsid w:val="00814697"/>
    <w:rsid w:val="00835301"/>
    <w:rsid w:val="00863EF6"/>
    <w:rsid w:val="008C5A21"/>
    <w:rsid w:val="009626A9"/>
    <w:rsid w:val="009E7688"/>
    <w:rsid w:val="00A1142B"/>
    <w:rsid w:val="00A9484C"/>
    <w:rsid w:val="00A97F4F"/>
    <w:rsid w:val="00AB2B8C"/>
    <w:rsid w:val="00AB6094"/>
    <w:rsid w:val="00AC42F3"/>
    <w:rsid w:val="00B36AA2"/>
    <w:rsid w:val="00B73272"/>
    <w:rsid w:val="00BC5558"/>
    <w:rsid w:val="00BE594A"/>
    <w:rsid w:val="00C107B8"/>
    <w:rsid w:val="00C41D8C"/>
    <w:rsid w:val="00C672DD"/>
    <w:rsid w:val="00D52843"/>
    <w:rsid w:val="00D66AF0"/>
    <w:rsid w:val="00DA38BA"/>
    <w:rsid w:val="00DA66A5"/>
    <w:rsid w:val="00DB17D8"/>
    <w:rsid w:val="00DD4494"/>
    <w:rsid w:val="00E075BC"/>
    <w:rsid w:val="00E2571F"/>
    <w:rsid w:val="00ED0A2E"/>
    <w:rsid w:val="00F2643B"/>
    <w:rsid w:val="00F40E3D"/>
    <w:rsid w:val="00F65A8C"/>
    <w:rsid w:val="00F830A6"/>
    <w:rsid w:val="00F9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F5D20DB1-2456-431F-90CD-D6A6084A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83C"/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semiHidden/>
  </w:style>
  <w:style w:type="paragraph" w:customStyle="1" w:styleId="HDR">
    <w:name w:val="HDR"/>
    <w:basedOn w:val="Normal"/>
    <w:rsid w:val="0035283C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rsid w:val="0035283C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rsid w:val="0035283C"/>
    <w:pPr>
      <w:suppressAutoHyphens/>
      <w:spacing w:before="240"/>
      <w:jc w:val="both"/>
    </w:pPr>
  </w:style>
  <w:style w:type="paragraph" w:customStyle="1" w:styleId="PRT">
    <w:name w:val="PRT"/>
    <w:basedOn w:val="Normal"/>
    <w:next w:val="ART"/>
    <w:rsid w:val="0035283C"/>
    <w:pPr>
      <w:keepNext/>
      <w:numPr>
        <w:numId w:val="1"/>
      </w:numPr>
      <w:suppressAutoHyphens/>
      <w:spacing w:before="480"/>
      <w:jc w:val="both"/>
      <w:outlineLvl w:val="0"/>
    </w:pPr>
  </w:style>
  <w:style w:type="paragraph" w:customStyle="1" w:styleId="SUT">
    <w:name w:val="SUT"/>
    <w:basedOn w:val="Normal"/>
    <w:next w:val="PR1"/>
    <w:rsid w:val="0035283C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rsid w:val="0035283C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rsid w:val="0035283C"/>
    <w:pPr>
      <w:keepNext/>
      <w:numPr>
        <w:ilvl w:val="3"/>
        <w:numId w:val="1"/>
      </w:numPr>
      <w:suppressAutoHyphens/>
      <w:spacing w:before="480"/>
      <w:jc w:val="both"/>
      <w:outlineLvl w:val="1"/>
    </w:pPr>
  </w:style>
  <w:style w:type="paragraph" w:customStyle="1" w:styleId="PR1">
    <w:name w:val="PR1"/>
    <w:basedOn w:val="Normal"/>
    <w:rsid w:val="0035283C"/>
    <w:pPr>
      <w:numPr>
        <w:ilvl w:val="4"/>
        <w:numId w:val="1"/>
      </w:numPr>
      <w:suppressAutoHyphens/>
      <w:spacing w:before="240"/>
      <w:jc w:val="both"/>
      <w:outlineLvl w:val="2"/>
    </w:pPr>
  </w:style>
  <w:style w:type="paragraph" w:customStyle="1" w:styleId="PR2">
    <w:name w:val="PR2"/>
    <w:basedOn w:val="Normal"/>
    <w:rsid w:val="0035283C"/>
    <w:pPr>
      <w:numPr>
        <w:ilvl w:val="5"/>
        <w:numId w:val="1"/>
      </w:numPr>
      <w:suppressAutoHyphens/>
      <w:jc w:val="both"/>
      <w:outlineLvl w:val="3"/>
    </w:pPr>
  </w:style>
  <w:style w:type="paragraph" w:customStyle="1" w:styleId="PR3">
    <w:name w:val="PR3"/>
    <w:basedOn w:val="Normal"/>
    <w:rsid w:val="0035283C"/>
    <w:pPr>
      <w:numPr>
        <w:ilvl w:val="6"/>
        <w:numId w:val="1"/>
      </w:numPr>
      <w:suppressAutoHyphens/>
      <w:jc w:val="both"/>
      <w:outlineLvl w:val="4"/>
    </w:pPr>
  </w:style>
  <w:style w:type="paragraph" w:customStyle="1" w:styleId="PR4">
    <w:name w:val="PR4"/>
    <w:basedOn w:val="Normal"/>
    <w:rsid w:val="0035283C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rsid w:val="0035283C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rsid w:val="0035283C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rsid w:val="0035283C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rsid w:val="0035283C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rsid w:val="0035283C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rsid w:val="0035283C"/>
    <w:pPr>
      <w:suppressAutoHyphens/>
      <w:spacing w:before="240"/>
      <w:ind w:left="2592"/>
      <w:jc w:val="both"/>
    </w:pPr>
  </w:style>
  <w:style w:type="paragraph" w:customStyle="1" w:styleId="TF1">
    <w:name w:val="TF1"/>
    <w:basedOn w:val="Normal"/>
    <w:next w:val="TB1"/>
    <w:rsid w:val="0035283C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rsid w:val="0035283C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rsid w:val="0035283C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rsid w:val="0035283C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rsid w:val="0035283C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rsid w:val="0035283C"/>
    <w:pPr>
      <w:suppressAutoHyphens/>
    </w:pPr>
  </w:style>
  <w:style w:type="paragraph" w:customStyle="1" w:styleId="TCE">
    <w:name w:val="TCE"/>
    <w:basedOn w:val="Normal"/>
    <w:rsid w:val="0035283C"/>
    <w:pPr>
      <w:suppressAutoHyphens/>
      <w:ind w:left="144" w:hanging="144"/>
    </w:pPr>
  </w:style>
  <w:style w:type="paragraph" w:customStyle="1" w:styleId="EOS">
    <w:name w:val="EOS"/>
    <w:basedOn w:val="Normal"/>
    <w:rsid w:val="0035283C"/>
    <w:pPr>
      <w:suppressAutoHyphens/>
      <w:spacing w:before="480"/>
      <w:jc w:val="both"/>
    </w:pPr>
  </w:style>
  <w:style w:type="paragraph" w:customStyle="1" w:styleId="ANT">
    <w:name w:val="ANT"/>
    <w:basedOn w:val="Normal"/>
    <w:rsid w:val="0035283C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rsid w:val="0035283C"/>
    <w:pPr>
      <w:suppressAutoHyphens/>
      <w:spacing w:before="240"/>
      <w:jc w:val="both"/>
    </w:pPr>
    <w:rPr>
      <w:vanish/>
      <w:color w:val="0000FF"/>
    </w:rPr>
  </w:style>
  <w:style w:type="character" w:customStyle="1" w:styleId="CPR">
    <w:name w:val="CPR"/>
    <w:rsid w:val="0035283C"/>
    <w:rPr>
      <w:rFonts w:cs="Times New Roman"/>
    </w:rPr>
  </w:style>
  <w:style w:type="character" w:customStyle="1" w:styleId="SPN">
    <w:name w:val="SPN"/>
    <w:rsid w:val="0035283C"/>
    <w:rPr>
      <w:rFonts w:cs="Times New Roman"/>
    </w:rPr>
  </w:style>
  <w:style w:type="character" w:customStyle="1" w:styleId="SPD">
    <w:name w:val="SPD"/>
    <w:rsid w:val="0035283C"/>
    <w:rPr>
      <w:rFonts w:cs="Times New Roman"/>
    </w:rPr>
  </w:style>
  <w:style w:type="character" w:customStyle="1" w:styleId="NUM">
    <w:name w:val="NUM"/>
    <w:rsid w:val="0035283C"/>
    <w:rPr>
      <w:rFonts w:cs="Times New Roman"/>
    </w:rPr>
  </w:style>
  <w:style w:type="character" w:customStyle="1" w:styleId="NAM">
    <w:name w:val="NAM"/>
    <w:rsid w:val="0035283C"/>
    <w:rPr>
      <w:rFonts w:cs="Times New Roman"/>
    </w:rPr>
  </w:style>
  <w:style w:type="character" w:customStyle="1" w:styleId="SI">
    <w:name w:val="SI"/>
    <w:rsid w:val="0035283C"/>
    <w:rPr>
      <w:rFonts w:cs="Times New Roman"/>
      <w:color w:val="008080"/>
    </w:rPr>
  </w:style>
  <w:style w:type="character" w:customStyle="1" w:styleId="IP">
    <w:name w:val="IP"/>
    <w:rsid w:val="0035283C"/>
    <w:rPr>
      <w:rFonts w:cs="Times New Roman"/>
      <w:color w:val="FF0000"/>
    </w:rPr>
  </w:style>
  <w:style w:type="paragraph" w:customStyle="1" w:styleId="RJUST">
    <w:name w:val="RJUST"/>
    <w:basedOn w:val="Normal"/>
    <w:rsid w:val="0035283C"/>
    <w:pPr>
      <w:jc w:val="right"/>
    </w:pPr>
  </w:style>
  <w:style w:type="character" w:customStyle="1" w:styleId="SAhyperlink">
    <w:name w:val="SAhyperlink"/>
    <w:rsid w:val="00E075BC"/>
    <w:rPr>
      <w:rFonts w:cs="Times New Roman"/>
      <w:color w:val="E36C0A"/>
      <w:u w:val="single"/>
    </w:rPr>
  </w:style>
  <w:style w:type="character" w:styleId="Hyperlink">
    <w:name w:val="Hyperlink"/>
    <w:rsid w:val="00E075B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113AE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13AE7"/>
    <w:rPr>
      <w:rFonts w:cs="Times New Roman"/>
    </w:rPr>
  </w:style>
  <w:style w:type="paragraph" w:styleId="Footer">
    <w:name w:val="footer"/>
    <w:basedOn w:val="Normal"/>
    <w:link w:val="FooterChar"/>
    <w:semiHidden/>
    <w:rsid w:val="00113AE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locked/>
    <w:rsid w:val="00113AE7"/>
    <w:rPr>
      <w:rFonts w:cs="Times New Roman"/>
    </w:rPr>
  </w:style>
  <w:style w:type="paragraph" w:styleId="ListParagraph">
    <w:name w:val="List Paragraph"/>
    <w:basedOn w:val="Normal"/>
    <w:uiPriority w:val="34"/>
    <w:qFormat/>
    <w:rsid w:val="00BE594A"/>
    <w:pPr>
      <w:ind w:left="720"/>
    </w:pPr>
  </w:style>
  <w:style w:type="paragraph" w:styleId="BalloonText">
    <w:name w:val="Balloon Text"/>
    <w:basedOn w:val="Normal"/>
    <w:link w:val="BalloonTextChar"/>
    <w:rsid w:val="00C672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67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D7720B-6D29-4155-B7DC-6CC5E7DCECCD}"/>
</file>

<file path=customXml/itemProps2.xml><?xml version="1.0" encoding="utf-8"?>
<ds:datastoreItem xmlns:ds="http://schemas.openxmlformats.org/officeDocument/2006/customXml" ds:itemID="{B5569128-2CB3-41B7-A0CE-681C3DF4C475}"/>
</file>

<file path=customXml/itemProps3.xml><?xml version="1.0" encoding="utf-8"?>
<ds:datastoreItem xmlns:ds="http://schemas.openxmlformats.org/officeDocument/2006/customXml" ds:itemID="{658923DB-151D-4208-B0E6-FDB77CD4B0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2016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096723 - RESINOUS FLOORING</vt:lpstr>
    </vt:vector>
  </TitlesOfParts>
  <Company/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096723 - RESINOUS FLOORING</dc:title>
  <dc:subject>RESINOUS FLOORING</dc:subject>
  <dc:creator>ARCOM, Inc.</dc:creator>
  <cp:keywords>BAS-12345-MS80</cp:keywords>
  <dc:description/>
  <cp:lastModifiedBy>Chris Carlson</cp:lastModifiedBy>
  <cp:revision>2</cp:revision>
  <cp:lastPrinted>2018-07-19T20:43:00Z</cp:lastPrinted>
  <dcterms:created xsi:type="dcterms:W3CDTF">2020-10-16T22:30:00Z</dcterms:created>
  <dcterms:modified xsi:type="dcterms:W3CDTF">2020-10-16T22:30:00Z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